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67571"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6757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67571">
            <w:rPr>
              <w:sz w:val="24"/>
              <w:szCs w:val="24"/>
            </w:rPr>
            <w:t>2</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294C02">
            <w:rPr>
              <w:sz w:val="24"/>
              <w:szCs w:val="24"/>
            </w:rPr>
            <w:t>7</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Theme="minorHAnsi" w:eastAsiaTheme="minorHAnsi" w:hAnsiTheme="minorHAnsi" w:cstheme="minorBidi"/>
                <w:kern w:val="0"/>
                <w:sz w:val="22"/>
                <w:szCs w:val="22"/>
                <w:lang w:eastAsia="en-US"/>
              </w:rPr>
              <w:id w:val="-789435010"/>
              <w:placeholder>
                <w:docPart w:val="DefaultPlaceholder_1082065158"/>
              </w:placeholder>
            </w:sdtPr>
            <w:sdtEndPr>
              <w:rPr>
                <w:rFonts w:ascii="Georgia" w:eastAsia="SimSun" w:hAnsi="Georgia" w:cs="Times New Roman"/>
                <w:kern w:val="16"/>
                <w:sz w:val="19"/>
                <w:szCs w:val="19"/>
                <w:lang w:eastAsia="zh-CN"/>
              </w:rPr>
            </w:sdtEndPr>
            <w:sdtContent>
              <w:p w:rsidR="00294C02" w:rsidRPr="005A2576" w:rsidRDefault="00294C02" w:rsidP="00294C02">
                <w:pPr>
                  <w:pStyle w:val="EL95ptBullet1"/>
                </w:pPr>
                <w:r w:rsidRPr="00084DAB">
                  <w:rPr>
                    <w:i/>
                    <w:iCs/>
                  </w:rPr>
                  <w:t>The Lightning Thief</w:t>
                </w:r>
                <w:r w:rsidRPr="00084DAB">
                  <w:t xml:space="preserve"> (</w:t>
                </w:r>
                <w:r w:rsidRPr="005A2576">
                  <w:t>book; one per student and one to display)</w:t>
                </w:r>
              </w:p>
              <w:p w:rsidR="00294C02" w:rsidRPr="005A2576" w:rsidRDefault="00294C02" w:rsidP="00294C02">
                <w:pPr>
                  <w:pStyle w:val="EL95ptBullet1"/>
                </w:pPr>
                <w:r w:rsidRPr="005A2576">
                  <w:t>Model Analytical Mini-Essay: “Elements of Mythology and Theme of Cronus” (one per student and one to display)</w:t>
                </w:r>
              </w:p>
              <w:p w:rsidR="00294C02" w:rsidRPr="005A2576" w:rsidRDefault="00294C02" w:rsidP="00294C02">
                <w:pPr>
                  <w:pStyle w:val="EL95ptBullet1"/>
                </w:pPr>
                <w:r w:rsidRPr="005A2576">
                  <w:t>Structure of Model Analytical Mini-Essay about Myth anchor chart (new; teacher created; see Work Time A for suggestions)</w:t>
                </w:r>
              </w:p>
              <w:p w:rsidR="00294C02" w:rsidRPr="005A2576" w:rsidRDefault="00294C02" w:rsidP="00294C02">
                <w:pPr>
                  <w:pStyle w:val="EL95ptBullet1"/>
                </w:pPr>
                <w:r w:rsidRPr="005A2576">
                  <w:t>Elements of Myth graphic organizer (for Body Paragraph 1) (one per student and one to display)</w:t>
                </w:r>
              </w:p>
              <w:p w:rsidR="00294C02" w:rsidRPr="005A2576" w:rsidRDefault="00294C02" w:rsidP="00294C02">
                <w:pPr>
                  <w:pStyle w:val="EL95ptBullet1"/>
                </w:pPr>
                <w:r w:rsidRPr="005A2576">
                  <w:t>Document camera</w:t>
                </w:r>
              </w:p>
              <w:p w:rsidR="00294C02" w:rsidRPr="005A2576" w:rsidRDefault="00294C02" w:rsidP="00294C02">
                <w:pPr>
                  <w:pStyle w:val="EL95ptBullet1"/>
                </w:pPr>
                <w:r w:rsidRPr="005A2576">
                  <w:t>Elements of Myth graphic organizer (for Body Paragraph 1) (sample response; For Teacher Reference)</w:t>
                </w:r>
              </w:p>
              <w:p w:rsidR="00294C02" w:rsidRPr="005A2576" w:rsidRDefault="00294C02" w:rsidP="00294C02">
                <w:pPr>
                  <w:pStyle w:val="EL95ptBullet1"/>
                </w:pPr>
                <w:r w:rsidRPr="005A2576">
                  <w:t>Theme graphic organizer (for Body Paragraph 2) (one per student and one to display)</w:t>
                </w:r>
              </w:p>
              <w:p w:rsidR="00294C02" w:rsidRPr="005A2576" w:rsidRDefault="00294C02" w:rsidP="00294C02">
                <w:pPr>
                  <w:pStyle w:val="EL95ptBullet1"/>
                </w:pPr>
                <w:r w:rsidRPr="005A2576">
                  <w:t>Theme graphic organizer sample response (for Body Paragraph 2) (for Teacher Reference)</w:t>
                </w:r>
              </w:p>
              <w:p w:rsidR="00294C02" w:rsidRPr="005A2576" w:rsidRDefault="00294C02" w:rsidP="00294C02">
                <w:pPr>
                  <w:pStyle w:val="EL95ptBullet1"/>
                </w:pPr>
                <w:r w:rsidRPr="005A2576">
                  <w:t>Homework: Purpose for Reading—Chapter 16  (one per student)</w:t>
                </w:r>
              </w:p>
              <w:p w:rsidR="0077149C" w:rsidRDefault="00294C02" w:rsidP="00294C02">
                <w:pPr>
                  <w:pStyle w:val="EL95ptBullet1"/>
                  <w:numPr>
                    <w:ilvl w:val="0"/>
                    <w:numId w:val="0"/>
                  </w:numPr>
                  <w:ind w:left="216"/>
                </w:pPr>
                <w:r w:rsidRPr="005A2576">
                  <w:t>Homework: Purpose for Reading—Chapter 16 (for Teacher Reference)</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rPr>
                <w:rFonts w:asciiTheme="minorHAnsi" w:eastAsiaTheme="minorHAnsi" w:hAnsiTheme="minorHAnsi" w:cstheme="minorBidi"/>
                <w:kern w:val="0"/>
                <w:sz w:val="22"/>
                <w:szCs w:val="22"/>
                <w:lang w:eastAsia="en-US"/>
              </w:rPr>
              <w:id w:val="-1611655917"/>
              <w:placeholder>
                <w:docPart w:val="DefaultPlaceholder_1082065158"/>
              </w:placeholder>
            </w:sdtPr>
            <w:sdtEndPr>
              <w:rPr>
                <w:rFonts w:ascii="Georgia" w:eastAsia="SimSun" w:hAnsi="Georgia" w:cs="Times New Roman"/>
                <w:kern w:val="16"/>
                <w:sz w:val="19"/>
                <w:szCs w:val="19"/>
                <w:lang w:eastAsia="zh-CN"/>
              </w:rPr>
            </w:sdtEndPr>
            <w:sdtContent>
              <w:p w:rsidR="00294C02" w:rsidRPr="005A2576" w:rsidRDefault="00294C02" w:rsidP="00294C02">
                <w:pPr>
                  <w:pStyle w:val="EL95ptBullet1"/>
                </w:pPr>
                <w:r w:rsidRPr="005A2576">
                  <w:t xml:space="preserve">I can describe the structure of an analytical mini-essay. </w:t>
                </w:r>
              </w:p>
              <w:p w:rsidR="00294C02" w:rsidRPr="005A2576" w:rsidRDefault="00294C02" w:rsidP="00294C02">
                <w:pPr>
                  <w:pStyle w:val="EL95ptBullet1"/>
                </w:pPr>
                <w:r w:rsidRPr="005A2576">
                  <w:t xml:space="preserve">I can describe the details the author used to make a claim about the elements of a myth. </w:t>
                </w:r>
              </w:p>
              <w:p w:rsidR="00294C02" w:rsidRPr="005A2576" w:rsidRDefault="00294C02" w:rsidP="00294C02">
                <w:pPr>
                  <w:pStyle w:val="EL95ptBullet1"/>
                </w:pPr>
                <w:r w:rsidRPr="005A2576">
                  <w:t>I can describe the details the author used to make a claim about the theme of a myth.</w:t>
                </w:r>
              </w:p>
              <w:p w:rsidR="0077149C" w:rsidRDefault="00294C02" w:rsidP="00294C02">
                <w:pPr>
                  <w:pStyle w:val="EL95ptBullet1"/>
                  <w:numPr>
                    <w:ilvl w:val="0"/>
                    <w:numId w:val="0"/>
                  </w:numPr>
                  <w:ind w:left="216"/>
                </w:pPr>
                <w:r w:rsidRPr="005A2576">
                  <w:t>I can explain why an author chose particular details to support a claim.</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eastAsia="SimSun" w:hAnsi="Georgia" w:cs="Times New Roman"/>
                <w:kern w:val="16"/>
                <w:sz w:val="19"/>
                <w:szCs w:val="19"/>
                <w:lang w:eastAsia="zh-CN"/>
              </w:rPr>
              <w:id w:val="-505440635"/>
              <w:placeholder>
                <w:docPart w:val="DefaultPlaceholder_1082065158"/>
              </w:placeholder>
            </w:sdtPr>
            <w:sdtEndPr>
              <w:rPr>
                <w:rFonts w:asciiTheme="minorHAnsi" w:eastAsiaTheme="minorHAnsi" w:hAnsiTheme="minorHAnsi" w:cstheme="minorBidi"/>
                <w:kern w:val="0"/>
                <w:sz w:val="22"/>
                <w:szCs w:val="22"/>
                <w:lang w:eastAsia="en-US"/>
              </w:rPr>
            </w:sdtEndPr>
            <w:sdtContent>
              <w:p w:rsidR="00294C02" w:rsidRPr="00294C02" w:rsidRDefault="00294C02" w:rsidP="00294C02">
                <w:pPr>
                  <w:rPr>
                    <w:rFonts w:ascii="Georgia" w:eastAsia="SimSun" w:hAnsi="Georgia" w:cs="Times New Roman"/>
                    <w:iCs/>
                    <w:kern w:val="16"/>
                    <w:sz w:val="19"/>
                    <w:szCs w:val="19"/>
                    <w:lang w:eastAsia="zh-CN"/>
                  </w:rPr>
                </w:pPr>
                <w:r w:rsidRPr="00294C02">
                  <w:rPr>
                    <w:rFonts w:ascii="Georgia" w:eastAsia="SimSun" w:hAnsi="Georgia" w:cs="Times New Roman"/>
                    <w:iCs/>
                    <w:kern w:val="16"/>
                    <w:sz w:val="19"/>
                    <w:szCs w:val="19"/>
                    <w:lang w:eastAsia="zh-CN"/>
                  </w:rPr>
                  <w:t xml:space="preserve"> Text-Dependent Vocabulary Questions from Chapter 15 of </w:t>
                </w:r>
                <w:r w:rsidRPr="00294C02">
                  <w:rPr>
                    <w:rFonts w:ascii="Georgia" w:eastAsia="SimSun" w:hAnsi="Georgia" w:cs="Times New Roman"/>
                    <w:i/>
                    <w:iCs/>
                    <w:kern w:val="16"/>
                    <w:sz w:val="19"/>
                    <w:szCs w:val="19"/>
                    <w:lang w:eastAsia="zh-CN"/>
                  </w:rPr>
                  <w:t xml:space="preserve">The Lightning Thief </w:t>
                </w:r>
                <w:r w:rsidRPr="00294C02">
                  <w:rPr>
                    <w:rFonts w:ascii="Georgia" w:eastAsia="SimSun" w:hAnsi="Georgia" w:cs="Times New Roman"/>
                    <w:iCs/>
                    <w:kern w:val="16"/>
                    <w:sz w:val="19"/>
                    <w:szCs w:val="19"/>
                    <w:lang w:eastAsia="zh-CN"/>
                  </w:rPr>
                  <w:t>(5 minutes)</w:t>
                </w:r>
              </w:p>
              <w:p w:rsidR="00B54F60" w:rsidRPr="00A0015D" w:rsidRDefault="00294C02" w:rsidP="00294C02"/>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lastRenderedPageBreak/>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294C02" w:rsidRPr="00294C02" w:rsidRDefault="00294C02" w:rsidP="00294C02">
                <w:pPr>
                  <w:pStyle w:val="EL95ptNumberedList2"/>
                  <w:numPr>
                    <w:ilvl w:val="0"/>
                    <w:numId w:val="9"/>
                  </w:numPr>
                </w:pPr>
                <w:r w:rsidRPr="00294C02">
                  <w:t>Analyzing a Model Mini-Essay (15 minutes)</w:t>
                </w:r>
              </w:p>
              <w:p w:rsidR="00294C02" w:rsidRPr="00294C02" w:rsidRDefault="00294C02" w:rsidP="00294C02">
                <w:pPr>
                  <w:pStyle w:val="ListParagraph"/>
                  <w:numPr>
                    <w:ilvl w:val="0"/>
                    <w:numId w:val="9"/>
                  </w:numPr>
                  <w:tabs>
                    <w:tab w:val="num" w:pos="533"/>
                  </w:tabs>
                  <w:spacing w:after="80" w:line="260" w:lineRule="exact"/>
                  <w:rPr>
                    <w:rFonts w:ascii="Georgia" w:eastAsia="SimSun" w:hAnsi="Georgia" w:cs="Times New Roman"/>
                    <w:kern w:val="16"/>
                    <w:sz w:val="19"/>
                    <w:szCs w:val="19"/>
                    <w:lang w:eastAsia="zh-CN"/>
                  </w:rPr>
                </w:pPr>
                <w:r w:rsidRPr="00294C02">
                  <w:rPr>
                    <w:rFonts w:ascii="Georgia" w:eastAsia="SimSun" w:hAnsi="Georgia" w:cs="Times New Roman"/>
                    <w:kern w:val="16"/>
                    <w:sz w:val="19"/>
                    <w:szCs w:val="19"/>
                    <w:lang w:eastAsia="zh-CN"/>
                  </w:rPr>
                  <w:t>Partner Work: How This Author Might Have Planned the Analytical Mini-Essay (20 minutes)</w:t>
                </w:r>
              </w:p>
              <w:p w:rsidR="0077149C" w:rsidRDefault="00294C02" w:rsidP="00294C02">
                <w:pPr>
                  <w:pStyle w:val="EL95ptNumberedList2"/>
                  <w:numPr>
                    <w:ilvl w:val="0"/>
                    <w:numId w:val="0"/>
                  </w:numPr>
                  <w:ind w:left="533"/>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dtPr>
            <w:sdtEndPr/>
            <w:sdtContent>
              <w:p w:rsidR="00B54F60" w:rsidRPr="00B54F60" w:rsidRDefault="00453757" w:rsidP="00453757">
                <w:pPr>
                  <w:contextualSpacing/>
                </w:pPr>
                <w:r>
                  <w:tab/>
                </w:r>
                <w:r>
                  <w:tab/>
                </w:r>
                <w:r>
                  <w:tab/>
                </w:r>
                <w:r>
                  <w:tab/>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294C02">
            <w:pPr>
              <w:pStyle w:val="ListParagraph"/>
              <w:numPr>
                <w:ilvl w:val="0"/>
                <w:numId w:val="9"/>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rPr>
                <w:rFonts w:asciiTheme="minorHAnsi" w:eastAsiaTheme="minorHAnsi" w:hAnsiTheme="minorHAnsi" w:cstheme="minorBidi"/>
                <w:kern w:val="0"/>
                <w:sz w:val="22"/>
                <w:szCs w:val="22"/>
                <w:lang w:eastAsia="en-US"/>
              </w:rPr>
              <w:id w:val="-1248422348"/>
              <w:placeholder>
                <w:docPart w:val="DefaultPlaceholder_1082065158"/>
              </w:placeholder>
            </w:sdtPr>
            <w:sdtEndPr>
              <w:rPr>
                <w:rFonts w:ascii="Georgia" w:eastAsia="SimSun" w:hAnsi="Georgia" w:cs="Times New Roman"/>
                <w:kern w:val="16"/>
                <w:sz w:val="19"/>
                <w:szCs w:val="19"/>
                <w:lang w:eastAsia="zh-CN"/>
              </w:rPr>
            </w:sdtEndPr>
            <w:sdtContent>
              <w:p w:rsidR="00294C02" w:rsidRPr="00294C02" w:rsidRDefault="00294C02" w:rsidP="00294C02">
                <w:pPr>
                  <w:pStyle w:val="EL95ptNumberedList2"/>
                  <w:numPr>
                    <w:ilvl w:val="0"/>
                    <w:numId w:val="0"/>
                  </w:numPr>
                </w:pPr>
                <w:r w:rsidRPr="00294C02">
                  <w:t>Feedback: Comparing Our Graphic Organizers to the Author’s (5 minutes)</w:t>
                </w:r>
              </w:p>
              <w:p w:rsidR="00294C02" w:rsidRPr="00294C02" w:rsidRDefault="00294C02" w:rsidP="00294C02">
                <w:pPr>
                  <w:spacing w:after="80" w:line="260" w:lineRule="exact"/>
                  <w:rPr>
                    <w:rFonts w:ascii="Georgia" w:eastAsia="SimSun" w:hAnsi="Georgia" w:cs="Times New Roman"/>
                    <w:kern w:val="16"/>
                    <w:sz w:val="19"/>
                    <w:szCs w:val="19"/>
                    <w:lang w:eastAsia="zh-CN"/>
                  </w:rPr>
                </w:pPr>
                <w:bookmarkStart w:id="0" w:name="_GoBack"/>
                <w:bookmarkEnd w:id="0"/>
                <w:r w:rsidRPr="00294C02">
                  <w:rPr>
                    <w:rFonts w:ascii="Georgia" w:eastAsia="SimSun" w:hAnsi="Georgia" w:cs="Times New Roman"/>
                    <w:b/>
                    <w:kern w:val="16"/>
                    <w:sz w:val="19"/>
                    <w:szCs w:val="19"/>
                    <w:lang w:eastAsia="zh-CN"/>
                  </w:rPr>
                  <w:t>Homework</w:t>
                </w:r>
              </w:p>
              <w:p w:rsidR="0077149C" w:rsidRDefault="00294C02" w:rsidP="00294C02">
                <w:pPr>
                  <w:pStyle w:val="EL95ptNumberedList2"/>
                  <w:numPr>
                    <w:ilvl w:val="0"/>
                    <w:numId w:val="0"/>
                  </w:numPr>
                </w:pPr>
                <w:r w:rsidRPr="00294C02">
                  <w:rPr>
                    <w:rFonts w:ascii="Times New Roman" w:hAnsi="Times New Roman"/>
                    <w:kern w:val="0"/>
                    <w:sz w:val="24"/>
                    <w:szCs w:val="24"/>
                  </w:rPr>
                  <w:t xml:space="preserve">Read Chapter 16 of </w:t>
                </w:r>
                <w:r w:rsidRPr="00294C02">
                  <w:rPr>
                    <w:rFonts w:ascii="Times New Roman" w:hAnsi="Times New Roman"/>
                    <w:i/>
                    <w:iCs/>
                    <w:kern w:val="0"/>
                    <w:sz w:val="24"/>
                    <w:szCs w:val="24"/>
                  </w:rPr>
                  <w:t>The Lightning Thief.</w:t>
                </w:r>
                <w:r w:rsidRPr="00294C02">
                  <w:rPr>
                    <w:rFonts w:ascii="Times New Roman" w:hAnsi="Times New Roman"/>
                    <w:kern w:val="0"/>
                    <w:sz w:val="24"/>
                    <w:szCs w:val="24"/>
                  </w:rPr>
                  <w:t xml:space="preserve"> With your evidence flags, mark three allusions (references) to myths, stories, or characters you find. Also record any new or challenging vocabulary for a discussion at the beginning of the next lesson.</w:t>
                </w: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3AB"/>
    <w:multiLevelType w:val="hybridMultilevel"/>
    <w:tmpl w:val="621A1F1C"/>
    <w:lvl w:ilvl="0" w:tplc="C92C3378">
      <w:start w:val="1"/>
      <w:numFmt w:val="upperLetter"/>
      <w:pStyle w:val="EL95ptNumberedList2"/>
      <w:lvlText w:val="%1."/>
      <w:lvlJc w:val="left"/>
      <w:pPr>
        <w:tabs>
          <w:tab w:val="num" w:pos="814"/>
        </w:tabs>
        <w:ind w:left="814" w:hanging="274"/>
      </w:pPr>
      <w:rPr>
        <w:rFonts w:ascii="Georgia" w:eastAsia="SimSun" w:hAnsi="Georgia" w:cs="Times New Roman"/>
        <w:b w:val="0"/>
        <w:i w:val="0"/>
        <w:color w:val="auto"/>
        <w:sz w:val="19"/>
        <w:szCs w:val="19"/>
      </w:rPr>
    </w:lvl>
    <w:lvl w:ilvl="1" w:tplc="A334ABE8">
      <w:start w:val="1"/>
      <w:numFmt w:val="upperLetter"/>
      <w:lvlText w:val="%2."/>
      <w:lvlJc w:val="left"/>
      <w:pPr>
        <w:tabs>
          <w:tab w:val="num" w:pos="756"/>
        </w:tabs>
        <w:ind w:left="756" w:hanging="259"/>
      </w:pPr>
      <w:rPr>
        <w:rFonts w:ascii="Georgia" w:hAnsi="Georgia" w:hint="default"/>
        <w:b w:val="0"/>
        <w:i w:val="0"/>
        <w:color w:val="auto"/>
        <w:sz w:val="19"/>
        <w:szCs w:val="19"/>
      </w:r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
    <w:nsid w:val="1601539D"/>
    <w:multiLevelType w:val="hybridMultilevel"/>
    <w:tmpl w:val="EB6669CC"/>
    <w:lvl w:ilvl="0" w:tplc="906C0282">
      <w:start w:val="1"/>
      <w:numFmt w:val="decimal"/>
      <w:lvlText w:val="%1."/>
      <w:lvlJc w:val="left"/>
      <w:pPr>
        <w:ind w:left="360" w:hanging="360"/>
      </w:pPr>
      <w:rPr>
        <w:rFonts w:hint="default"/>
        <w:b/>
        <w:bCs/>
        <w:i w:val="0"/>
        <w:iCs w:val="0"/>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F6DC2"/>
    <w:multiLevelType w:val="hybridMultilevel"/>
    <w:tmpl w:val="7CD2FC02"/>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Symbol" w:hint="default"/>
      </w:rPr>
    </w:lvl>
    <w:lvl w:ilvl="2" w:tplc="67CEB7AC">
      <w:numFmt w:val="bullet"/>
      <w:lvlText w:val=""/>
      <w:lvlJc w:val="left"/>
      <w:pPr>
        <w:ind w:left="2300" w:hanging="500"/>
      </w:pPr>
      <w:rPr>
        <w:rFonts w:ascii="Symbol" w:eastAsia="SimSu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2247DF"/>
    <w:multiLevelType w:val="hybridMultilevel"/>
    <w:tmpl w:val="A69AE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0"/>
  </w:num>
  <w:num w:numId="6">
    <w:abstractNumId w:val="0"/>
    <w:lvlOverride w:ilvl="0">
      <w:startOverride w:val="1"/>
    </w:lvlOverride>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3736"/>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94C0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53757"/>
    <w:rsid w:val="00466F2F"/>
    <w:rsid w:val="004745F6"/>
    <w:rsid w:val="0049328F"/>
    <w:rsid w:val="004A61D2"/>
    <w:rsid w:val="004B7BA7"/>
    <w:rsid w:val="004D0952"/>
    <w:rsid w:val="004D750E"/>
    <w:rsid w:val="005075AA"/>
    <w:rsid w:val="00513080"/>
    <w:rsid w:val="00517D4F"/>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63D6F"/>
    <w:rsid w:val="0077149C"/>
    <w:rsid w:val="007C1D73"/>
    <w:rsid w:val="007E6BE2"/>
    <w:rsid w:val="007F004F"/>
    <w:rsid w:val="007F3F40"/>
    <w:rsid w:val="008276F2"/>
    <w:rsid w:val="00872951"/>
    <w:rsid w:val="008C024A"/>
    <w:rsid w:val="008F1470"/>
    <w:rsid w:val="0091456E"/>
    <w:rsid w:val="009275A7"/>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67571"/>
    <w:rsid w:val="00B9222F"/>
    <w:rsid w:val="00B97280"/>
    <w:rsid w:val="00C2217F"/>
    <w:rsid w:val="00C45AFF"/>
    <w:rsid w:val="00C65E8A"/>
    <w:rsid w:val="00C857B0"/>
    <w:rsid w:val="00CA3ED0"/>
    <w:rsid w:val="00CA5747"/>
    <w:rsid w:val="00CF418A"/>
    <w:rsid w:val="00D45F3E"/>
    <w:rsid w:val="00D64603"/>
    <w:rsid w:val="00D65B64"/>
    <w:rsid w:val="00D66CA2"/>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 w:type="paragraph" w:customStyle="1" w:styleId="ELPAGEHEADING1">
    <w:name w:val="_EL PAGE HEADING 1"/>
    <w:next w:val="Normal"/>
    <w:rsid w:val="009275A7"/>
    <w:pPr>
      <w:tabs>
        <w:tab w:val="right" w:pos="14400"/>
      </w:tabs>
      <w:spacing w:after="0" w:line="340" w:lineRule="exact"/>
      <w:jc w:val="right"/>
    </w:pPr>
    <w:rPr>
      <w:rFonts w:ascii="Arial" w:eastAsia="SimSun" w:hAnsi="Arial" w:cs="Arial"/>
      <w:b/>
      <w:caps/>
      <w:color w:val="D11242"/>
      <w:kern w:val="16"/>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 w:type="paragraph" w:customStyle="1" w:styleId="ELPAGEHEADING1">
    <w:name w:val="_EL PAGE HEADING 1"/>
    <w:next w:val="Normal"/>
    <w:rsid w:val="009275A7"/>
    <w:pPr>
      <w:tabs>
        <w:tab w:val="right" w:pos="14400"/>
      </w:tabs>
      <w:spacing w:after="0" w:line="340" w:lineRule="exact"/>
      <w:jc w:val="right"/>
    </w:pPr>
    <w:rPr>
      <w:rFonts w:ascii="Arial" w:eastAsia="SimSun" w:hAnsi="Arial" w:cs="Arial"/>
      <w:b/>
      <w:caps/>
      <w:color w:val="D11242"/>
      <w:kern w:val="16"/>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620D9"/>
    <w:rsid w:val="002704A5"/>
    <w:rsid w:val="003E7681"/>
    <w:rsid w:val="003F46F2"/>
    <w:rsid w:val="00451B3E"/>
    <w:rsid w:val="00530366"/>
    <w:rsid w:val="00545DC8"/>
    <w:rsid w:val="00556418"/>
    <w:rsid w:val="005A24D0"/>
    <w:rsid w:val="00620658"/>
    <w:rsid w:val="006334DB"/>
    <w:rsid w:val="006B295F"/>
    <w:rsid w:val="007629A9"/>
    <w:rsid w:val="00776A87"/>
    <w:rsid w:val="007C47E8"/>
    <w:rsid w:val="007D3176"/>
    <w:rsid w:val="007D507B"/>
    <w:rsid w:val="0085535A"/>
    <w:rsid w:val="00863700"/>
    <w:rsid w:val="008F2407"/>
    <w:rsid w:val="00922D8C"/>
    <w:rsid w:val="009B1A68"/>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2</cp:revision>
  <cp:lastPrinted>2014-09-15T17:28:00Z</cp:lastPrinted>
  <dcterms:created xsi:type="dcterms:W3CDTF">2014-09-24T19:09:00Z</dcterms:created>
  <dcterms:modified xsi:type="dcterms:W3CDTF">2014-09-24T19:09:00Z</dcterms:modified>
</cp:coreProperties>
</file>